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BB329A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 апреля</w:t>
      </w:r>
      <w:r w:rsidR="008C577B" w:rsidRPr="00455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года № 20-п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45549C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75-175/04)</w:t>
      </w:r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30" w:rsidRPr="0045549C" w:rsidRDefault="00E26430" w:rsidP="008C57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C5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A613A7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И.Ш. Тимербулатов</w:t>
      </w: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85F" w:rsidRPr="0045549C" w:rsidRDefault="00F2285F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5BF5" w:rsidRPr="0045549C" w:rsidRDefault="00D45BF5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6430" w:rsidRPr="0045549C" w:rsidRDefault="00E2643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81960" w:rsidRDefault="0058196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667FE" w:rsidRDefault="006667FE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B329A" w:rsidRPr="0045549C" w:rsidRDefault="00BB329A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6430" w:rsidRPr="0045549C" w:rsidRDefault="00E2643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352F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BB329A">
        <w:rPr>
          <w:rFonts w:ascii="Times New Roman" w:hAnsi="Times New Roman" w:cs="Times New Roman"/>
          <w:bCs/>
          <w:sz w:val="24"/>
          <w:szCs w:val="24"/>
        </w:rPr>
        <w:t>13.04.2022 года № 20-п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6667FE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410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2023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2024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667FE">
        <w:rPr>
          <w:rFonts w:ascii="Times New Roman" w:hAnsi="Times New Roman" w:cs="Times New Roman"/>
          <w:sz w:val="24"/>
          <w:szCs w:val="24"/>
        </w:rPr>
        <w:t xml:space="preserve"> год  – 410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2023 год – 1510,0 тыс. руб.,</w:t>
      </w:r>
    </w:p>
    <w:p w:rsidR="00CF3983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2024 год – 1510,0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66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581960">
        <w:rPr>
          <w:rFonts w:ascii="Times New Roman" w:hAnsi="Times New Roman" w:cs="Times New Roman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81960"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960" w:rsidRPr="00581960">
        <w:rPr>
          <w:rFonts w:ascii="Times New Roman" w:eastAsia="Times New Roman" w:hAnsi="Times New Roman" w:cs="Times New Roman"/>
          <w:bCs/>
          <w:sz w:val="24"/>
          <w:szCs w:val="24"/>
        </w:rPr>
        <w:t>28.12.2021 г</w:t>
      </w:r>
      <w:r w:rsidR="005819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960"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581960" w:rsidRPr="0045549C" w:rsidRDefault="00581960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3020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30200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410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B2" w:rsidRDefault="001B7DB2" w:rsidP="00D972BF">
      <w:pPr>
        <w:spacing w:after="0" w:line="240" w:lineRule="auto"/>
      </w:pPr>
      <w:r>
        <w:separator/>
      </w:r>
    </w:p>
  </w:endnote>
  <w:endnote w:type="continuationSeparator" w:id="0">
    <w:p w:rsidR="001B7DB2" w:rsidRDefault="001B7DB2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85742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BB3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B2" w:rsidRDefault="001B7DB2" w:rsidP="00D972BF">
      <w:pPr>
        <w:spacing w:after="0" w:line="240" w:lineRule="auto"/>
      </w:pPr>
      <w:r>
        <w:separator/>
      </w:r>
    </w:p>
  </w:footnote>
  <w:footnote w:type="continuationSeparator" w:id="0">
    <w:p w:rsidR="001B7DB2" w:rsidRDefault="001B7DB2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F0764"/>
    <w:rsid w:val="00810AC8"/>
    <w:rsid w:val="008309F3"/>
    <w:rsid w:val="008313E8"/>
    <w:rsid w:val="008369E6"/>
    <w:rsid w:val="00845857"/>
    <w:rsid w:val="00857423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A342A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11EB-CB04-4BD5-98A0-CEB91EA1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2022-04-13T12:37:00Z</dcterms:created>
  <dcterms:modified xsi:type="dcterms:W3CDTF">2022-04-13T12:37:00Z</dcterms:modified>
</cp:coreProperties>
</file>